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3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reinigungsleistungen (Unterhalt- und Glasreinigung) für Objekte der Stadtbildpflege Kaiserslauter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reinigungsleistungen (Unterhalt- und Glasreinigung) für Objekte der Stadtbildpflege Kaiserslautern 2026 - 2030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